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121" w:rsidRDefault="00B96121" w:rsidP="00DF1434">
      <w:pPr>
        <w:jc w:val="both"/>
      </w:pPr>
    </w:p>
    <w:p w:rsidR="00B96121" w:rsidRDefault="00B96121" w:rsidP="00B96121">
      <w:pPr>
        <w:jc w:val="center"/>
      </w:pPr>
    </w:p>
    <w:p w:rsidR="00B96121" w:rsidRDefault="00B96121" w:rsidP="00B96121">
      <w:pPr>
        <w:jc w:val="center"/>
      </w:pPr>
    </w:p>
    <w:p w:rsidR="00B96121" w:rsidRDefault="00B96121" w:rsidP="00B96121">
      <w:pPr>
        <w:jc w:val="center"/>
      </w:pPr>
    </w:p>
    <w:p w:rsidR="00B96121" w:rsidRDefault="00B96121" w:rsidP="00B96121">
      <w:pPr>
        <w:jc w:val="center"/>
      </w:pPr>
    </w:p>
    <w:p w:rsidR="006D6474" w:rsidRDefault="00B96121" w:rsidP="00B96121">
      <w:pPr>
        <w:jc w:val="center"/>
      </w:pPr>
      <w:bookmarkStart w:id="0" w:name="_GoBack"/>
      <w:r>
        <w:t xml:space="preserve">The Concept of Evil </w:t>
      </w:r>
      <w:bookmarkEnd w:id="0"/>
      <w:r>
        <w:t>in Neo-Platonism</w:t>
      </w:r>
      <w:r w:rsidR="000E1070" w:rsidRPr="000E1070">
        <w:t xml:space="preserve"> </w:t>
      </w:r>
    </w:p>
    <w:p w:rsidR="00B96121" w:rsidRDefault="00B96121" w:rsidP="00B96121">
      <w:pPr>
        <w:jc w:val="center"/>
      </w:pPr>
      <w:r>
        <w:t>Student’s Name</w:t>
      </w:r>
    </w:p>
    <w:p w:rsidR="00B96121" w:rsidRDefault="00B96121" w:rsidP="00B96121">
      <w:pPr>
        <w:jc w:val="center"/>
      </w:pPr>
      <w:r>
        <w:t>Institution</w:t>
      </w:r>
    </w:p>
    <w:p w:rsidR="00B96121" w:rsidRDefault="00B96121">
      <w:pPr>
        <w:spacing w:line="276" w:lineRule="auto"/>
      </w:pPr>
      <w:r>
        <w:br w:type="page"/>
      </w:r>
    </w:p>
    <w:p w:rsidR="00B96121" w:rsidRDefault="00B96121" w:rsidP="00B96121">
      <w:pPr>
        <w:jc w:val="center"/>
      </w:pPr>
      <w:r>
        <w:lastRenderedPageBreak/>
        <w:t xml:space="preserve">The Concept of Evil in Neo-Platonism </w:t>
      </w:r>
    </w:p>
    <w:p w:rsidR="00B96121" w:rsidRPr="00DF1434" w:rsidRDefault="00B96121" w:rsidP="00B96121">
      <w:pPr>
        <w:rPr>
          <w:b/>
        </w:rPr>
      </w:pPr>
      <w:r w:rsidRPr="00DF1434">
        <w:rPr>
          <w:b/>
        </w:rPr>
        <w:t>Introduction</w:t>
      </w:r>
    </w:p>
    <w:p w:rsidR="00B96121" w:rsidRDefault="00B96121" w:rsidP="00DF1434">
      <w:pPr>
        <w:ind w:firstLine="720"/>
        <w:jc w:val="both"/>
      </w:pPr>
      <w:proofErr w:type="spellStart"/>
      <w:r>
        <w:t>Neo-platonism</w:t>
      </w:r>
      <w:proofErr w:type="spellEnd"/>
      <w:r>
        <w:t xml:space="preserve"> refers to a philosophical system that became founded on platonic doctrine as well as Eastern mysticism during the third century AD by Plotinus and had a signi</w:t>
      </w:r>
      <w:r w:rsidR="00F334D8">
        <w:t>ficant influence on Christian Philosophy</w:t>
      </w:r>
      <w:r>
        <w:t xml:space="preserve">. Its philosophical belief held that every existence comprises emanations from the One that can be reunited with the soul. </w:t>
      </w:r>
      <w:proofErr w:type="spellStart"/>
      <w:r>
        <w:t>Neoplatonists</w:t>
      </w:r>
      <w:proofErr w:type="spellEnd"/>
      <w:r>
        <w:t xml:space="preserve"> believed that evil did not exist independently and considered it the absence of good. Neoplatonism had an astronomical influence on early Christian thinkers. Augustine of Hippo and Clement of Alexandria are renowned people who became influenced by Neoplatonism philosophical beliefs concerning Christian ideologies. Augustine converted from being a </w:t>
      </w:r>
      <w:r w:rsidR="00D91700">
        <w:t>Manichean</w:t>
      </w:r>
      <w:r>
        <w:t xml:space="preserve"> hearer to become a Christian courtesy of Neoplatonism teaching of existence of One being or God</w:t>
      </w:r>
      <w:r w:rsidRPr="006D6474">
        <w:rPr>
          <w:rFonts w:eastAsia="Times New Roman" w:cs="Times New Roman"/>
          <w:szCs w:val="24"/>
        </w:rPr>
        <w:t xml:space="preserve"> </w:t>
      </w:r>
      <w:r>
        <w:rPr>
          <w:rFonts w:eastAsia="Times New Roman" w:cs="Times New Roman"/>
          <w:szCs w:val="24"/>
        </w:rPr>
        <w:t xml:space="preserve">(Pane, </w:t>
      </w:r>
      <w:r w:rsidRPr="001277BE">
        <w:rPr>
          <w:rFonts w:eastAsia="Times New Roman" w:cs="Times New Roman"/>
          <w:szCs w:val="24"/>
        </w:rPr>
        <w:t>2019</w:t>
      </w:r>
      <w:r>
        <w:rPr>
          <w:rFonts w:eastAsia="Times New Roman" w:cs="Times New Roman"/>
          <w:szCs w:val="24"/>
        </w:rPr>
        <w:t>)</w:t>
      </w:r>
      <w:r>
        <w:t>. The thesis statement of the paper is to meticulously examine the impression of evil in Neo-Platonism and the influence it had on the early Christian philosophy.</w:t>
      </w:r>
    </w:p>
    <w:p w:rsidR="00B96121" w:rsidRDefault="00B96121" w:rsidP="00DF1434">
      <w:pPr>
        <w:ind w:firstLine="720"/>
        <w:jc w:val="both"/>
      </w:pPr>
      <w:r>
        <w:t>Neo-Platonism teachings had the philosophical belief that showed reverence towards pre-existence as well as the immortality of the soul</w:t>
      </w:r>
      <w:r w:rsidRPr="006D6474">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Gregorios</w:t>
      </w:r>
      <w:proofErr w:type="spellEnd"/>
      <w:r>
        <w:rPr>
          <w:rFonts w:eastAsia="Times New Roman" w:cs="Times New Roman"/>
          <w:szCs w:val="24"/>
        </w:rPr>
        <w:t xml:space="preserve">, </w:t>
      </w:r>
      <w:r w:rsidRPr="001277BE">
        <w:rPr>
          <w:rFonts w:eastAsia="Times New Roman" w:cs="Times New Roman"/>
          <w:szCs w:val="24"/>
        </w:rPr>
        <w:t>2018)</w:t>
      </w:r>
      <w:r>
        <w:t>. It considered the human soul to encompass a lower irrational soul along with a higher rational soul, and they are deemed as separate powers of a single soul. A lower irrational soul is One that can be compromised to partake of evil activities while the higher rational soul makes astute judgments using intellect. The concept of evil in Neoplatonism was best advanced and explained by Plotinus.</w:t>
      </w:r>
    </w:p>
    <w:p w:rsidR="00B96121" w:rsidRDefault="00B96121" w:rsidP="00DF1434">
      <w:pPr>
        <w:ind w:firstLine="720"/>
        <w:jc w:val="both"/>
      </w:pPr>
      <w:r>
        <w:t xml:space="preserve">Plotinus highlighted myriad philosophical teachings that explain the concept of evil. He considered the hierarchy of Matter as something that has no deposit of good within it. The depiction of this is sourced from understanding the emanation of the Good. The Plotinus concept </w:t>
      </w:r>
      <w:r>
        <w:lastRenderedPageBreak/>
        <w:t>of Matter is exemplified in the understanding that Matter is void of every quality. Neo-Platonism philosophy considered that where evil is there is nothing being produced from it. The depiction is that both Matter and evil are non-Being but not nonexistent. Thus Neo-Platonists believe that evil and Matter are devoid of quality as well as Form. Plotinus deemed evil to be a privation of the Good and is rooted in the world’s bottom of the order, which is referred to as Matter</w:t>
      </w:r>
      <w:r w:rsidRPr="00A818DF">
        <w:rPr>
          <w:rFonts w:eastAsia="Times New Roman" w:cs="Times New Roman"/>
          <w:szCs w:val="24"/>
        </w:rPr>
        <w:t xml:space="preserve"> </w:t>
      </w:r>
      <w:r>
        <w:rPr>
          <w:rFonts w:eastAsia="Times New Roman" w:cs="Times New Roman"/>
          <w:szCs w:val="24"/>
        </w:rPr>
        <w:t>(Rodrigues, 2016)</w:t>
      </w:r>
      <w:r>
        <w:t>. Augustine used the conceptual information relayed by the Plotinus reaffirming the opinion of privation and develops them in a Christian framework to denounce evil.</w:t>
      </w:r>
    </w:p>
    <w:p w:rsidR="00B96121" w:rsidRDefault="00B96121" w:rsidP="00DF1434">
      <w:pPr>
        <w:ind w:firstLine="720"/>
        <w:jc w:val="both"/>
      </w:pPr>
      <w:r>
        <w:t xml:space="preserve">Plotinus explains the conceptual information concerning evil during Neoplatonism through a series of arguments. He refers to evil as a privation of good that which is existent in the absence of good. This belief is what shaped the philosophical view of </w:t>
      </w:r>
      <w:proofErr w:type="spellStart"/>
      <w:r>
        <w:t>Neoplatonists</w:t>
      </w:r>
      <w:proofErr w:type="spellEnd"/>
      <w:r>
        <w:t xml:space="preserve"> concerning evil. </w:t>
      </w:r>
      <w:proofErr w:type="spellStart"/>
      <w:r>
        <w:t>Neoplatonists</w:t>
      </w:r>
      <w:proofErr w:type="spellEnd"/>
      <w:r>
        <w:t xml:space="preserve"> did not believe that evil existed independently. It was compared to the darkness that cannot exist on its own but does so in the absence of light. Therefore, </w:t>
      </w:r>
      <w:proofErr w:type="spellStart"/>
      <w:r>
        <w:t>Neoplatonists</w:t>
      </w:r>
      <w:proofErr w:type="spellEnd"/>
      <w:r>
        <w:t xml:space="preserve"> considered that evil was an absence of good. The concept regards that things are evil as they are imperfect, denoting that they lack some good in them.  </w:t>
      </w:r>
    </w:p>
    <w:p w:rsidR="00B96121" w:rsidRDefault="00B96121" w:rsidP="00DF1434">
      <w:pPr>
        <w:ind w:firstLine="720"/>
        <w:jc w:val="both"/>
      </w:pPr>
      <w:r>
        <w:t>The idea of evil in Neoplatonism argued that evil is existent as an absolute lack, which is the non-existence of Good. Evil does not have room in divine order as it causes haunting of mortal nature. Neoplatonism viewed evil as an act that contravenes Good and is not existent in an indispensable union to Good. For instance, when a person commits theft, he or she is regarded to have been compromised and become committed to doing an evil act. Plotinus stated that the act of separation from the One is the beginning of evil. He further explained that evil is caused when a person’s intellect becomes compromised and engages in doing evil activities.</w:t>
      </w:r>
    </w:p>
    <w:p w:rsidR="00B96121" w:rsidRDefault="00B96121" w:rsidP="00DF1434">
      <w:pPr>
        <w:ind w:firstLine="720"/>
        <w:jc w:val="both"/>
      </w:pPr>
      <w:r>
        <w:lastRenderedPageBreak/>
        <w:t>The philosophical viewpoint of Neoplatonism was based on different emanations.  They include world-soul, the phenomenal world, as well as demiurge or nous. The world-soul refers to the image of the motionless nous and considered to be immaterial. Many souls are embraced by this world, which may allow them to be knowledgeable by the nous, such as making decisions not to commit evil. The relation of the world-soul is congruent to the One. Demiurge or nous refers to the One’s perfect image and is regarded as the archetype of everything that exists. It exists simultaneously as a being and thought that enhances people’s ability to avert doing evil activities. The phenomenal world is the soul that ensures perfect harmony to the state of things in the world.</w:t>
      </w:r>
    </w:p>
    <w:p w:rsidR="00B96121" w:rsidRDefault="00B96121" w:rsidP="00DF1434">
      <w:pPr>
        <w:ind w:firstLine="720"/>
        <w:jc w:val="both"/>
      </w:pPr>
      <w:r>
        <w:t>Neo-Platonism had an astounding influence on early Christian philosophy. For instance, some opinions of Neoplatonism were pivotal to the philosophical interim that changed Christian Theologian by the Augustine to embrace Christianity by denouncing dualistic Manichaeism</w:t>
      </w:r>
      <w:r w:rsidRPr="00A818DF">
        <w:rPr>
          <w:rFonts w:eastAsia="Times New Roman" w:cs="Times New Roman"/>
          <w:szCs w:val="24"/>
        </w:rPr>
        <w:t xml:space="preserve"> </w:t>
      </w:r>
      <w:r>
        <w:rPr>
          <w:rFonts w:eastAsia="Times New Roman" w:cs="Times New Roman"/>
          <w:szCs w:val="24"/>
        </w:rPr>
        <w:t>(Le, 2018)</w:t>
      </w:r>
      <w:r>
        <w:t xml:space="preserve">. While serving as a staunch </w:t>
      </w:r>
      <w:proofErr w:type="spellStart"/>
      <w:r>
        <w:t>Manichee</w:t>
      </w:r>
      <w:proofErr w:type="spellEnd"/>
      <w:r>
        <w:t xml:space="preserve"> member, Augustine regarded the belief that evil is a considerable being and also considering God to be made of Matter. However, after denouncing dualistic Manichaeism to become a Neoplatonism and a Christian, he regarded evil to be a privation of good. He also considered God not to be material. Neoplatonism had a significant influence on early Christianity beliefs, which is noted in belief on Logos. </w:t>
      </w:r>
      <w:proofErr w:type="spellStart"/>
      <w:r>
        <w:t>Neoplatonists</w:t>
      </w:r>
      <w:proofErr w:type="spellEnd"/>
      <w:r>
        <w:t xml:space="preserve"> interpret Logos as the belief of mediation as well as the interrelationship between </w:t>
      </w:r>
      <w:proofErr w:type="spellStart"/>
      <w:r>
        <w:t>Hypostatses</w:t>
      </w:r>
      <w:proofErr w:type="spellEnd"/>
      <w:r>
        <w:t xml:space="preserve"> – Soul, Spirit, and the One. Christianity believed in God the Father, the Son – Jesus – and Holy Spirit. For example, St. John introduced a relation that existed between Logos along with the Son, while St. Paul referred to it as Son, image, and Form. Augustine considered the Logos a representation of the Christ in the form of flesh, and it is through Christ that the Logos was present only. The teachings of Neoplatonism had a crucial contribution to Augustine in influencing the Early </w:t>
      </w:r>
      <w:r>
        <w:lastRenderedPageBreak/>
        <w:t>Medieval Christian philosophy. Neoplatonism immensely influenced several early Christians as they acknowledged its conception about the existence of One, God.</w:t>
      </w:r>
    </w:p>
    <w:p w:rsidR="00B96121" w:rsidRDefault="00B96121" w:rsidP="00DF1434">
      <w:pPr>
        <w:ind w:firstLine="720"/>
        <w:jc w:val="both"/>
      </w:pPr>
      <w:r>
        <w:t>Moreover, Neoplatonism had an influence on Christian beliefs during the Middle Ages. Elements of thoughts by Plotinus were utilized in St. Thomas Aquinas as well as John Scotus Erigena in recognition of the Neoplatonic One of the Good and God. The fundamental foundation of Christianity is reinforced on embracing divine nature that detests the committing of evil. Early Christians believed in the existence of God as the only Being above everyone else</w:t>
      </w:r>
      <w:r w:rsidRPr="00A818DF">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Otten</w:t>
      </w:r>
      <w:proofErr w:type="spellEnd"/>
      <w:r>
        <w:rPr>
          <w:rFonts w:eastAsia="Times New Roman" w:cs="Times New Roman"/>
          <w:szCs w:val="24"/>
        </w:rPr>
        <w:t>, 2016)</w:t>
      </w:r>
      <w:r>
        <w:t>. Neoplatonism depicted evil to be existent in the privation of good. This notion had a significant influence on Augustine to depart from the Manichean dualistic standpoint on the evil that stated that evil is a different power within the universe that is opposed to and equal to good power. Neoplatonism emphasized the existence of only one God, and this Christian standpoint made played a critical role in the Christian point of view held by Augustine against Manichean teachings regarding evil. Neoplatonic philosophy influenced Augustine’s conception of evil.</w:t>
      </w:r>
    </w:p>
    <w:p w:rsidR="00B96121" w:rsidRDefault="00B96121" w:rsidP="00DF1434">
      <w:pPr>
        <w:ind w:firstLine="720"/>
        <w:jc w:val="both"/>
      </w:pPr>
      <w:r>
        <w:t xml:space="preserve">Neoplatonism enhanced the ability of Christians to understand the truth. This is as apparent in the case of Augustine, who acknowledged the tenets of Neoplatonism as far as the concept of evil was demystified. He was helped in various ways. Firstly, it enabled him to conceive an incorporeal deity that is omnipresent. Secondly, Augustine was able to discard </w:t>
      </w:r>
      <w:proofErr w:type="spellStart"/>
      <w:r>
        <w:t>Manichees</w:t>
      </w:r>
      <w:proofErr w:type="spellEnd"/>
      <w:r>
        <w:t>’ two equal power and revere the one supreme and powerful God</w:t>
      </w:r>
      <w:r w:rsidRPr="00A818DF">
        <w:rPr>
          <w:rFonts w:eastAsia="Times New Roman" w:cs="Times New Roman"/>
          <w:szCs w:val="24"/>
        </w:rPr>
        <w:t xml:space="preserve"> </w:t>
      </w:r>
      <w:r>
        <w:rPr>
          <w:rFonts w:eastAsia="Times New Roman" w:cs="Times New Roman"/>
          <w:szCs w:val="24"/>
        </w:rPr>
        <w:t>(Dillon, 2018)</w:t>
      </w:r>
      <w:r>
        <w:t>. Christianity pays allegiance to one deity considered to be supernatural but is present in the universe. In this religion, evil is profaned and detestable.</w:t>
      </w:r>
    </w:p>
    <w:p w:rsidR="00B96121" w:rsidRDefault="00B96121" w:rsidP="00DF1434">
      <w:pPr>
        <w:jc w:val="both"/>
      </w:pPr>
      <w:r>
        <w:t>Conclusion</w:t>
      </w:r>
    </w:p>
    <w:p w:rsidR="00B96121" w:rsidRDefault="00B96121" w:rsidP="00DF1434">
      <w:pPr>
        <w:ind w:firstLine="720"/>
        <w:jc w:val="both"/>
      </w:pPr>
      <w:r>
        <w:lastRenderedPageBreak/>
        <w:t xml:space="preserve">Neoplatonism considerably influenced the early Christian philosophy in diverse ways. The Plotinus Enneads postulated that everything else depends on Good living, no room for evil. Thus evil is placed in the dominion of non-Being, as stated by Plotinus. This denoted that evil is existent as a vague replica of Being. The teachings of Neoplatonism held that evil is real and does exist; however, it is excluded from encompassing a Being within the Good. Secondly, the hierarchical conception of the trinity by Plotinus reinforced the faith of early Christians concerning the existence of a Supreme Being, God. Plotinus accounted that the One referred to God and who became regarded to be above Being. Also, Plotinus explained a hierarchy known as the World Soul that referred to below Being. The conception helped Augustine break from being a </w:t>
      </w:r>
      <w:proofErr w:type="spellStart"/>
      <w:r>
        <w:t>Manichee</w:t>
      </w:r>
      <w:proofErr w:type="spellEnd"/>
      <w:r>
        <w:t xml:space="preserve"> hearer, and he became more interested in getting to know how a transcendent God might be expressed.  Neoplatonism championed the philosophy of locating the One and God in Christianity. Doing good is regarded as a noteworthy step in ensuring that evil is shunned as required in the life of a Christian.</w:t>
      </w:r>
    </w:p>
    <w:p w:rsidR="00DF1434" w:rsidRDefault="00DF1434">
      <w:pPr>
        <w:spacing w:line="276" w:lineRule="auto"/>
      </w:pPr>
      <w:r>
        <w:br w:type="page"/>
      </w:r>
    </w:p>
    <w:p w:rsidR="00B96121" w:rsidRDefault="00B96121" w:rsidP="00B96121">
      <w:pPr>
        <w:ind w:firstLine="720"/>
        <w:jc w:val="center"/>
      </w:pPr>
      <w:r>
        <w:lastRenderedPageBreak/>
        <w:t>References</w:t>
      </w:r>
    </w:p>
    <w:p w:rsidR="00DF1434" w:rsidRPr="001277BE" w:rsidRDefault="00DF1434" w:rsidP="00B96121">
      <w:pPr>
        <w:spacing w:after="0"/>
        <w:ind w:left="720" w:hanging="720"/>
        <w:rPr>
          <w:rFonts w:eastAsia="Times New Roman" w:cs="Times New Roman"/>
          <w:szCs w:val="24"/>
        </w:rPr>
      </w:pPr>
      <w:r w:rsidRPr="001277BE">
        <w:rPr>
          <w:rFonts w:eastAsia="Times New Roman" w:cs="Times New Roman"/>
          <w:szCs w:val="24"/>
        </w:rPr>
        <w:t xml:space="preserve">Dillon, J. (2018). </w:t>
      </w:r>
      <w:r w:rsidRPr="001277BE">
        <w:rPr>
          <w:rFonts w:eastAsia="Times New Roman" w:cs="Times New Roman"/>
          <w:i/>
          <w:iCs/>
          <w:szCs w:val="24"/>
        </w:rPr>
        <w:t>The Platonic Heritage: Further Studies in the History of Platonism and Early Christianity</w:t>
      </w:r>
      <w:r w:rsidRPr="001277BE">
        <w:rPr>
          <w:rFonts w:eastAsia="Times New Roman" w:cs="Times New Roman"/>
          <w:szCs w:val="24"/>
        </w:rPr>
        <w:t>. Routledge.</w:t>
      </w:r>
    </w:p>
    <w:p w:rsidR="00DF1434" w:rsidRPr="001277BE" w:rsidRDefault="00DF1434" w:rsidP="00B96121">
      <w:pPr>
        <w:spacing w:after="0"/>
        <w:ind w:left="720" w:hanging="720"/>
        <w:rPr>
          <w:rFonts w:eastAsia="Times New Roman" w:cs="Times New Roman"/>
          <w:szCs w:val="24"/>
        </w:rPr>
      </w:pPr>
      <w:proofErr w:type="spellStart"/>
      <w:r w:rsidRPr="001277BE">
        <w:rPr>
          <w:rFonts w:eastAsia="Times New Roman" w:cs="Times New Roman"/>
          <w:szCs w:val="24"/>
        </w:rPr>
        <w:t>Gregorios</w:t>
      </w:r>
      <w:proofErr w:type="spellEnd"/>
      <w:r w:rsidRPr="001277BE">
        <w:rPr>
          <w:rFonts w:eastAsia="Times New Roman" w:cs="Times New Roman"/>
          <w:szCs w:val="24"/>
        </w:rPr>
        <w:t xml:space="preserve">, P. M. (2018). </w:t>
      </w:r>
      <w:proofErr w:type="spellStart"/>
      <w:r w:rsidRPr="001277BE">
        <w:rPr>
          <w:rFonts w:eastAsia="Times New Roman" w:cs="Times New Roman"/>
          <w:szCs w:val="24"/>
        </w:rPr>
        <w:t>Theurgic</w:t>
      </w:r>
      <w:proofErr w:type="spellEnd"/>
      <w:r w:rsidRPr="001277BE">
        <w:rPr>
          <w:rFonts w:eastAsia="Times New Roman" w:cs="Times New Roman"/>
          <w:szCs w:val="24"/>
        </w:rPr>
        <w:t xml:space="preserve"> </w:t>
      </w:r>
      <w:proofErr w:type="spellStart"/>
      <w:r w:rsidRPr="001277BE">
        <w:rPr>
          <w:rFonts w:eastAsia="Times New Roman" w:cs="Times New Roman"/>
          <w:szCs w:val="24"/>
        </w:rPr>
        <w:t>neo-Platonism</w:t>
      </w:r>
      <w:proofErr w:type="spellEnd"/>
      <w:r w:rsidRPr="001277BE">
        <w:rPr>
          <w:rFonts w:eastAsia="Times New Roman" w:cs="Times New Roman"/>
          <w:szCs w:val="24"/>
        </w:rPr>
        <w:t xml:space="preserve"> and the </w:t>
      </w:r>
      <w:proofErr w:type="spellStart"/>
      <w:r w:rsidRPr="001277BE">
        <w:rPr>
          <w:rFonts w:eastAsia="Times New Roman" w:cs="Times New Roman"/>
          <w:szCs w:val="24"/>
        </w:rPr>
        <w:t>Eunomius</w:t>
      </w:r>
      <w:proofErr w:type="spellEnd"/>
      <w:r w:rsidRPr="001277BE">
        <w:rPr>
          <w:rFonts w:eastAsia="Times New Roman" w:cs="Times New Roman"/>
          <w:szCs w:val="24"/>
        </w:rPr>
        <w:t xml:space="preserve">-Gregory Debate: An Examination of the Background. In </w:t>
      </w:r>
      <w:r w:rsidRPr="001277BE">
        <w:rPr>
          <w:rFonts w:eastAsia="Times New Roman" w:cs="Times New Roman"/>
          <w:i/>
          <w:iCs/>
          <w:szCs w:val="24"/>
        </w:rPr>
        <w:t xml:space="preserve">Gregory of Nyssa: Contra </w:t>
      </w:r>
      <w:proofErr w:type="spellStart"/>
      <w:r w:rsidRPr="001277BE">
        <w:rPr>
          <w:rFonts w:eastAsia="Times New Roman" w:cs="Times New Roman"/>
          <w:i/>
          <w:iCs/>
          <w:szCs w:val="24"/>
        </w:rPr>
        <w:t>Eunomium</w:t>
      </w:r>
      <w:proofErr w:type="spellEnd"/>
      <w:r w:rsidRPr="001277BE">
        <w:rPr>
          <w:rFonts w:eastAsia="Times New Roman" w:cs="Times New Roman"/>
          <w:i/>
          <w:iCs/>
          <w:szCs w:val="24"/>
        </w:rPr>
        <w:t xml:space="preserve"> I</w:t>
      </w:r>
      <w:r w:rsidRPr="001277BE">
        <w:rPr>
          <w:rFonts w:eastAsia="Times New Roman" w:cs="Times New Roman"/>
          <w:szCs w:val="24"/>
        </w:rPr>
        <w:t xml:space="preserve"> (pp. 240-260). Brill.</w:t>
      </w:r>
    </w:p>
    <w:p w:rsidR="00DF1434" w:rsidRPr="001277BE" w:rsidRDefault="00DF1434" w:rsidP="00B96121">
      <w:pPr>
        <w:spacing w:after="0"/>
        <w:ind w:left="720" w:hanging="720"/>
        <w:rPr>
          <w:rFonts w:eastAsia="Times New Roman" w:cs="Times New Roman"/>
          <w:szCs w:val="24"/>
        </w:rPr>
      </w:pPr>
      <w:r w:rsidRPr="001277BE">
        <w:rPr>
          <w:rFonts w:eastAsia="Times New Roman" w:cs="Times New Roman"/>
          <w:szCs w:val="24"/>
        </w:rPr>
        <w:t xml:space="preserve">Le, V. (2018). </w:t>
      </w:r>
      <w:r w:rsidRPr="001277BE">
        <w:rPr>
          <w:rFonts w:eastAsia="Times New Roman" w:cs="Times New Roman"/>
          <w:i/>
          <w:iCs/>
          <w:szCs w:val="24"/>
        </w:rPr>
        <w:t>Being and evil: philosophy in the shadow of Augustine</w:t>
      </w:r>
      <w:r w:rsidRPr="001277BE">
        <w:rPr>
          <w:rFonts w:eastAsia="Times New Roman" w:cs="Times New Roman"/>
          <w:szCs w:val="24"/>
        </w:rPr>
        <w:t xml:space="preserve"> (No. M. Arts). Deakin University.</w:t>
      </w:r>
    </w:p>
    <w:p w:rsidR="00DF1434" w:rsidRPr="001277BE" w:rsidRDefault="00DF1434" w:rsidP="00B96121">
      <w:pPr>
        <w:spacing w:after="0"/>
        <w:ind w:left="720" w:hanging="720"/>
        <w:rPr>
          <w:rFonts w:eastAsia="Times New Roman" w:cs="Times New Roman"/>
          <w:szCs w:val="24"/>
        </w:rPr>
      </w:pPr>
      <w:proofErr w:type="spellStart"/>
      <w:r w:rsidRPr="001277BE">
        <w:rPr>
          <w:rFonts w:eastAsia="Times New Roman" w:cs="Times New Roman"/>
          <w:szCs w:val="24"/>
        </w:rPr>
        <w:t>Otten</w:t>
      </w:r>
      <w:proofErr w:type="spellEnd"/>
      <w:r w:rsidRPr="001277BE">
        <w:rPr>
          <w:rFonts w:eastAsia="Times New Roman" w:cs="Times New Roman"/>
          <w:szCs w:val="24"/>
        </w:rPr>
        <w:t xml:space="preserve">, W. (2016). Christianity’s Content:(Neo) Platonism in the Middle Ages, Its Theoretical and Theological Appeal. </w:t>
      </w:r>
      <w:r w:rsidRPr="001277BE">
        <w:rPr>
          <w:rFonts w:eastAsia="Times New Roman" w:cs="Times New Roman"/>
          <w:i/>
          <w:iCs/>
          <w:szCs w:val="24"/>
        </w:rPr>
        <w:t>Numen</w:t>
      </w:r>
      <w:r w:rsidRPr="001277BE">
        <w:rPr>
          <w:rFonts w:eastAsia="Times New Roman" w:cs="Times New Roman"/>
          <w:szCs w:val="24"/>
        </w:rPr>
        <w:t xml:space="preserve">, </w:t>
      </w:r>
      <w:r w:rsidRPr="001277BE">
        <w:rPr>
          <w:rFonts w:eastAsia="Times New Roman" w:cs="Times New Roman"/>
          <w:i/>
          <w:iCs/>
          <w:szCs w:val="24"/>
        </w:rPr>
        <w:t>63</w:t>
      </w:r>
      <w:r w:rsidRPr="001277BE">
        <w:rPr>
          <w:rFonts w:eastAsia="Times New Roman" w:cs="Times New Roman"/>
          <w:szCs w:val="24"/>
        </w:rPr>
        <w:t>(2-3), 245-270.</w:t>
      </w:r>
    </w:p>
    <w:p w:rsidR="00DF1434" w:rsidRPr="001277BE" w:rsidRDefault="00DF1434" w:rsidP="00B96121">
      <w:pPr>
        <w:spacing w:after="0"/>
        <w:ind w:left="720" w:hanging="720"/>
        <w:rPr>
          <w:rFonts w:eastAsia="Times New Roman" w:cs="Times New Roman"/>
          <w:szCs w:val="24"/>
        </w:rPr>
      </w:pPr>
      <w:r w:rsidRPr="001277BE">
        <w:rPr>
          <w:rFonts w:eastAsia="Times New Roman" w:cs="Times New Roman"/>
          <w:szCs w:val="24"/>
        </w:rPr>
        <w:t xml:space="preserve">Pane, E. E. (2019, December). A </w:t>
      </w:r>
      <w:proofErr w:type="spellStart"/>
      <w:r w:rsidRPr="001277BE">
        <w:rPr>
          <w:rFonts w:eastAsia="Times New Roman" w:cs="Times New Roman"/>
          <w:szCs w:val="24"/>
        </w:rPr>
        <w:t>Comperative</w:t>
      </w:r>
      <w:proofErr w:type="spellEnd"/>
      <w:r w:rsidRPr="001277BE">
        <w:rPr>
          <w:rFonts w:eastAsia="Times New Roman" w:cs="Times New Roman"/>
          <w:szCs w:val="24"/>
        </w:rPr>
        <w:t xml:space="preserve"> Study: Original Sin on The View Between Augustine and Neo-</w:t>
      </w:r>
      <w:proofErr w:type="spellStart"/>
      <w:r w:rsidRPr="001277BE">
        <w:rPr>
          <w:rFonts w:eastAsia="Times New Roman" w:cs="Times New Roman"/>
          <w:szCs w:val="24"/>
        </w:rPr>
        <w:t>Plaonism</w:t>
      </w:r>
      <w:proofErr w:type="spellEnd"/>
      <w:r w:rsidRPr="001277BE">
        <w:rPr>
          <w:rFonts w:eastAsia="Times New Roman" w:cs="Times New Roman"/>
          <w:szCs w:val="24"/>
        </w:rPr>
        <w:t xml:space="preserve">. In </w:t>
      </w:r>
      <w:r w:rsidRPr="001277BE">
        <w:rPr>
          <w:rFonts w:eastAsia="Times New Roman" w:cs="Times New Roman"/>
          <w:i/>
          <w:iCs/>
          <w:szCs w:val="24"/>
        </w:rPr>
        <w:t>Abstract Proceedings International Scholars Conference</w:t>
      </w:r>
      <w:r w:rsidRPr="001277BE">
        <w:rPr>
          <w:rFonts w:eastAsia="Times New Roman" w:cs="Times New Roman"/>
          <w:szCs w:val="24"/>
        </w:rPr>
        <w:t xml:space="preserve"> (Vol. 7, No. 1, pp. 2065-2083).</w:t>
      </w:r>
    </w:p>
    <w:p w:rsidR="00DF1434" w:rsidRPr="001277BE" w:rsidRDefault="00DF1434" w:rsidP="00B96121">
      <w:pPr>
        <w:spacing w:after="0"/>
        <w:ind w:left="720" w:hanging="720"/>
        <w:rPr>
          <w:rFonts w:eastAsia="Times New Roman" w:cs="Times New Roman"/>
          <w:szCs w:val="24"/>
        </w:rPr>
      </w:pPr>
      <w:r w:rsidRPr="001277BE">
        <w:rPr>
          <w:rFonts w:eastAsia="Times New Roman" w:cs="Times New Roman"/>
          <w:szCs w:val="24"/>
        </w:rPr>
        <w:t xml:space="preserve">Rodrigues, A. C. (2016). ‘Drawing aside the Mystic Veil’: Augustine’s Mystical Encounter with the Divine in the Confessions. </w:t>
      </w:r>
      <w:r w:rsidRPr="001277BE">
        <w:rPr>
          <w:rFonts w:eastAsia="Times New Roman" w:cs="Times New Roman"/>
          <w:i/>
          <w:iCs/>
          <w:szCs w:val="24"/>
        </w:rPr>
        <w:t>Journal of Early Christian History</w:t>
      </w:r>
      <w:r w:rsidRPr="001277BE">
        <w:rPr>
          <w:rFonts w:eastAsia="Times New Roman" w:cs="Times New Roman"/>
          <w:szCs w:val="24"/>
        </w:rPr>
        <w:t xml:space="preserve">, </w:t>
      </w:r>
      <w:r w:rsidRPr="001277BE">
        <w:rPr>
          <w:rFonts w:eastAsia="Times New Roman" w:cs="Times New Roman"/>
          <w:i/>
          <w:iCs/>
          <w:szCs w:val="24"/>
        </w:rPr>
        <w:t>6</w:t>
      </w:r>
      <w:r w:rsidRPr="001277BE">
        <w:rPr>
          <w:rFonts w:eastAsia="Times New Roman" w:cs="Times New Roman"/>
          <w:szCs w:val="24"/>
        </w:rPr>
        <w:t>(3), 86-97.</w:t>
      </w:r>
    </w:p>
    <w:p w:rsidR="00B96121" w:rsidRDefault="00B96121" w:rsidP="00B96121">
      <w:pPr>
        <w:ind w:firstLine="720"/>
        <w:jc w:val="center"/>
      </w:pPr>
    </w:p>
    <w:p w:rsidR="00B96121" w:rsidRDefault="00B96121" w:rsidP="00B96121">
      <w:pPr>
        <w:jc w:val="center"/>
      </w:pPr>
    </w:p>
    <w:p w:rsidR="00B96121" w:rsidRPr="00B96121" w:rsidRDefault="00B96121" w:rsidP="00B96121"/>
    <w:sectPr w:rsidR="00B96121" w:rsidRPr="00B96121" w:rsidSect="00B9612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4F4" w:rsidRDefault="00DB14F4" w:rsidP="00B96121">
      <w:pPr>
        <w:spacing w:after="0" w:line="240" w:lineRule="auto"/>
      </w:pPr>
      <w:r>
        <w:separator/>
      </w:r>
    </w:p>
  </w:endnote>
  <w:endnote w:type="continuationSeparator" w:id="0">
    <w:p w:rsidR="00DB14F4" w:rsidRDefault="00DB14F4" w:rsidP="00B96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4F4" w:rsidRDefault="00DB14F4" w:rsidP="00B96121">
      <w:pPr>
        <w:spacing w:after="0" w:line="240" w:lineRule="auto"/>
      </w:pPr>
      <w:r>
        <w:separator/>
      </w:r>
    </w:p>
  </w:footnote>
  <w:footnote w:type="continuationSeparator" w:id="0">
    <w:p w:rsidR="00DB14F4" w:rsidRDefault="00DB14F4" w:rsidP="00B961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6417688"/>
      <w:docPartObj>
        <w:docPartGallery w:val="Page Numbers (Top of Page)"/>
        <w:docPartUnique/>
      </w:docPartObj>
    </w:sdtPr>
    <w:sdtEndPr/>
    <w:sdtContent>
      <w:p w:rsidR="00B96121" w:rsidRDefault="00B96121">
        <w:pPr>
          <w:pStyle w:val="Header"/>
          <w:jc w:val="right"/>
        </w:pPr>
        <w:r>
          <w:t xml:space="preserve">THE CONCEPT OF EVIL IN NEOPLATONISM </w:t>
        </w:r>
        <w:r>
          <w:tab/>
        </w:r>
        <w:r w:rsidR="00DB14F4">
          <w:fldChar w:fldCharType="begin"/>
        </w:r>
        <w:r w:rsidR="00DB14F4">
          <w:instrText xml:space="preserve"> PAGE   \* MERGEFORMAT </w:instrText>
        </w:r>
        <w:r w:rsidR="00DB14F4">
          <w:fldChar w:fldCharType="separate"/>
        </w:r>
        <w:r w:rsidR="00F03603">
          <w:rPr>
            <w:noProof/>
          </w:rPr>
          <w:t>7</w:t>
        </w:r>
        <w:r w:rsidR="00DB14F4">
          <w:rPr>
            <w:noProof/>
          </w:rPr>
          <w:fldChar w:fldCharType="end"/>
        </w:r>
      </w:p>
    </w:sdtContent>
  </w:sdt>
  <w:p w:rsidR="00B96121" w:rsidRDefault="00B9612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6121" w:rsidRDefault="00B96121">
    <w:pPr>
      <w:pStyle w:val="Header"/>
    </w:pPr>
    <w:r>
      <w:t>Running Head: THE CONCEPT OF EVIL IN NEOPLATONISM</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404"/>
    <w:rsid w:val="00016442"/>
    <w:rsid w:val="00020797"/>
    <w:rsid w:val="000426AB"/>
    <w:rsid w:val="00073404"/>
    <w:rsid w:val="000A7F6A"/>
    <w:rsid w:val="000E1070"/>
    <w:rsid w:val="00173F8E"/>
    <w:rsid w:val="002D25C0"/>
    <w:rsid w:val="0051456E"/>
    <w:rsid w:val="0054305A"/>
    <w:rsid w:val="005766F4"/>
    <w:rsid w:val="006D6474"/>
    <w:rsid w:val="00810DA5"/>
    <w:rsid w:val="00841178"/>
    <w:rsid w:val="00866B51"/>
    <w:rsid w:val="00A818DF"/>
    <w:rsid w:val="00AE71E4"/>
    <w:rsid w:val="00B96121"/>
    <w:rsid w:val="00D91700"/>
    <w:rsid w:val="00DB14F4"/>
    <w:rsid w:val="00DC3082"/>
    <w:rsid w:val="00DF1434"/>
    <w:rsid w:val="00E045DC"/>
    <w:rsid w:val="00E72254"/>
    <w:rsid w:val="00EE0071"/>
    <w:rsid w:val="00F03603"/>
    <w:rsid w:val="00F155FD"/>
    <w:rsid w:val="00F334D8"/>
    <w:rsid w:val="00F43DA9"/>
    <w:rsid w:val="00F56D7B"/>
    <w:rsid w:val="00FB35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B2BD5"/>
  <w15:docId w15:val="{77986924-9F9B-43B1-B76D-DDF4AB8AF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61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121"/>
    <w:rPr>
      <w:rFonts w:ascii="Times New Roman" w:hAnsi="Times New Roman"/>
      <w:sz w:val="24"/>
    </w:rPr>
  </w:style>
  <w:style w:type="paragraph" w:styleId="Footer">
    <w:name w:val="footer"/>
    <w:basedOn w:val="Normal"/>
    <w:link w:val="FooterChar"/>
    <w:uiPriority w:val="99"/>
    <w:semiHidden/>
    <w:unhideWhenUsed/>
    <w:rsid w:val="00B9612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9612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1467</Words>
  <Characters>8366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2020-04-10T14:39:00Z</dcterms:created>
  <dcterms:modified xsi:type="dcterms:W3CDTF">2020-04-10T14:39:00Z</dcterms:modified>
</cp:coreProperties>
</file>